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Moving &amp; Relocation Command Kit</w:t>
      </w:r>
    </w:p>
    <w:p>
      <w:r>
        <w:t>Free working edition 0.1 | November 2, 2026 | David Tom Publishing</w:t>
      </w:r>
    </w:p>
    <w:p>
      <w:r>
        <w:t>A practical guide for general US readers. Read the worked case, complete one sheet, and keep the supporting record with it. Examples and worksheet prompts are original DTP material; all example households and figures are fictional.</w:t>
      </w:r>
    </w:p>
    <w:p>
      <w:r>
        <w:t>Print and write by hand, or use the editable Word file. The PDFs are not fillable. Copy a worksheet for another task or use a continuation sheet labeled with its code, question and date. Unknown is a valid answer when paired with a next step.</w:t>
      </w:r>
    </w:p>
    <w:p>
      <w:r>
        <w:t>Keep completed records private. Use aliases and record locations instead of full account numbers, identification numbers, passwords or access codes. This is an organizer, not personalized financial, legal, lending, mechanical or repair advice.</w:t>
      </w:r>
    </w:p>
    <w:p>
      <w:r>
        <w:t>Working edition: reader, physical-print, native Word and assistive-technology acceptance remain open. PDFs are untagged; no PDF/UA compliance or professional signoff is claimed. Print one sample page before a full run.</w:t>
      </w:r>
    </w:p>
    <w:p>
      <w:pPr>
        <w:pStyle w:val="Heading1"/>
      </w:pPr>
      <w:r>
        <w:t>Choose the move you are planning</w:t>
      </w:r>
    </w:p>
    <w:p>
      <w:r>
        <w:t>Write the origin and destination as private record references, then describe the arrangement: self-managed, assisted by friends, provider-managed, or mixed. Identify the people who will be present at packing, collection, and delivery. Do not assume the same person will see every stage.</w:t>
      </w:r>
    </w:p>
    <w:p>
      <w:r>
        <w:t>Give the move one timeline, but label the source of each date. A personal packing target is not a provider appointment or a contractual deadline. When a date is not confirmed, say so and assign someone to obtain the confirmation.</w:t>
      </w:r>
    </w:p>
    <w:p>
      <w:r>
        <w:t>The kit does not supply a universal moving-contract rule. Keep the actual documents for the chosen arrangement and consult the relevant provider or official source for requirements that apply to it.</w:t>
      </w:r>
    </w:p>
    <w:p>
      <w:pPr>
        <w:pStyle w:val="Heading1"/>
      </w:pPr>
      <w:r>
        <w:t>Make box labels useful at both ends</w:t>
      </w:r>
    </w:p>
    <w:p>
      <w:r>
        <w:t>Use a short code and destination room together, such as KITCHEN-01. The code belongs on the box and in the inventory. A description such as “kitchen things” is too broad when several boxes arrive at different times.</w:t>
      </w:r>
    </w:p>
    <w:p>
      <w:r>
        <w:t>Record only the detail needed to identify the group and support the handoff. Keep sensitive documents and valuables under a separately planned arrangement. Do not place a full public inventory of private contents on the outside of a box.</w:t>
      </w:r>
    </w:p>
    <w:p>
      <w:r>
        <w:t>For each code, mark packed, collected, received, and checked as separate states. A received box may still need a condition check. A count at collection should not be treated as confirmation at delivery.</w:t>
      </w:r>
    </w:p>
    <w:p>
      <w:pPr>
        <w:pStyle w:val="Heading1"/>
      </w:pPr>
      <w:r>
        <w:t>Before the move: close dependencies in order</w:t>
      </w:r>
    </w:p>
    <w:p>
      <w:r>
        <w:t>Begin with access and timing questions. Who can receive a delivery? When can each location be entered? Which services need an appointment rather than an online request? Write the answer and confirmation reference before scheduling dependent tasks.</w:t>
      </w:r>
    </w:p>
    <w:p>
      <w:r>
        <w:t>Then separate an essentials group from the ordinary inventory. Choose the documents and everyday items you intend to keep accessible, and record who is responsible for them. This is an organizing decision, not a standardized packing prescription.</w:t>
      </w:r>
    </w:p>
    <w:p>
      <w:r>
        <w:t>Keep a cost record that distinguishes estimate, agreed amount, deposit, and final payment. A deposit is usually part of the agreed amount in the fictional examples here, not a second charge. Actual arrangements must be read from their own terms.</w:t>
      </w:r>
    </w:p>
    <w:p>
      <w:pPr>
        <w:pStyle w:val="Heading1"/>
      </w:pPr>
      <w:r>
        <w:t>Worked case: the move is finished, but the inventory is not</w:t>
      </w:r>
    </w:p>
    <w:p>
      <w:r>
        <w:t>A fictional household plans twelve boxes. Twelve are recorded as collected. At delivery, eleven are recorded as received, and KITCHEN-03 is not located. The household does not mark the move fully reconciled because the truck has departed.</w:t>
      </w:r>
    </w:p>
    <w:p>
      <w:r>
        <w:t>The receiving person records the missing code, the collection record reference, the delivery record reference, and the provider contact responsible for follow-up. If the box arrives later, the new receipt date is added without changing the original delivery count. The history shows what happened at each stage.</w:t>
      </w:r>
    </w:p>
    <w:p>
      <w:r>
        <w:t>The same principle applies to address and service changes. “Request submitted” and “new record confirmed” are separate entries. A completed request is not proof that every related organization has updated its records.</w:t>
      </w:r>
    </w:p>
    <w:p>
      <w:pPr>
        <w:pStyle w:val="Heading1"/>
      </w:pPr>
      <w:r>
        <w:t>After the move: keep one closing list</w:t>
      </w:r>
    </w:p>
    <w:p>
      <w:r>
        <w:t>Bring the inventory, service confirmations, receipts, and unresolved items together. Archive the records that are complete. Keep the remaining list short enough to review without reopening every packing note. A move can be substantially complete while a particular question remains open; the record should be able to say both.</w:t>
      </w:r>
    </w:p>
    <w:p>
      <w:pPr>
        <w:pStyle w:val="Heading1"/>
      </w:pPr>
      <w:r>
        <w:t>Reconcile one stage at a time</w:t>
      </w:r>
    </w:p>
    <w:p>
      <w:r>
        <w:t>Copy MVG-02 for each box or use continuation pages bearing the same code. At a handoff, compare the expected codes with the actual codes, not only the total count. Two copies of one code cannot stand in for a different missing box.</w:t>
      </w:r>
    </w:p>
    <w:p>
      <w:r>
        <w:t>In the twelve-box example, the initial collected count is 12 and the initial received count is 11. The initial gap is one box, KITCHEN-03. If it later arrives, record that later date separately; the initial received count remains 11 and the cumulative received count becomes 12. Checked condition remains a separate question.</w:t>
      </w:r>
    </w:p>
    <w:p>
      <w:r>
        <w:t>For a separate fictional payment example, an agreed final total of $900 with a $200 credited deposit leaves $700 payable, assuming no other charges or adjustments. Total paid after that payment is $900, not $1,100. Actual documents control the real arrangement.</w:t>
      </w:r>
    </w:p>
    <w:p>
      <w:r>
        <w:br w:type="page"/>
      </w:r>
    </w:p>
    <w:p>
      <w:pPr>
        <w:pStyle w:val="Heading1"/>
      </w:pPr>
      <w:r>
        <w:t>MVG-01 — Access, timing and responsibilities</w:t>
      </w:r>
    </w:p>
    <w:p>
      <w:pPr>
        <w:pStyle w:val="Heading2"/>
      </w:pPr>
      <w:r>
        <w:t>Move alias, arrangement and private address-record location</w:t>
      </w:r>
    </w:p>
    <w:p>
      <w:r>
        <w:t>Response: __________________________________________________</w:t>
        <w:br/>
      </w:r>
    </w:p>
    <w:p>
      <w:pPr>
        <w:pStyle w:val="Heading2"/>
      </w:pPr>
      <w:r>
        <w:t>Packing, collection and receiving people; agreement confirmed</w:t>
      </w:r>
    </w:p>
    <w:p>
      <w:r>
        <w:t>Response: __________________________________________________</w:t>
        <w:br/>
      </w:r>
    </w:p>
    <w:p>
      <w:pPr>
        <w:pStyle w:val="Heading2"/>
      </w:pPr>
      <w:r>
        <w:t>Access dates and times; source and confirmed/provisional status</w:t>
      </w:r>
    </w:p>
    <w:p>
      <w:r>
        <w:t>Response: __________________________________________________</w:t>
        <w:br/>
      </w:r>
    </w:p>
    <w:p>
      <w:pPr>
        <w:pStyle w:val="Heading2"/>
      </w:pPr>
      <w:r>
        <w:t>Dependent appointments; what must be confirmed first</w:t>
      </w:r>
    </w:p>
    <w:p>
      <w:r>
        <w:t>Response: __________________________________________________</w:t>
        <w:br/>
      </w:r>
    </w:p>
    <w:p>
      <w:pPr>
        <w:pStyle w:val="Heading2"/>
      </w:pPr>
      <w:r>
        <w:t>Essentials group and responsible person; private record location</w:t>
      </w:r>
    </w:p>
    <w:p>
      <w:r>
        <w:t>Response: __________________________________________________</w:t>
        <w:br/>
      </w:r>
    </w:p>
    <w:p>
      <w:pPr>
        <w:pStyle w:val="Heading2"/>
      </w:pPr>
      <w:r>
        <w:t>Outstanding dependency, owner and next contact</w:t>
      </w:r>
    </w:p>
    <w:p>
      <w:r>
        <w:t>Response: __________________________________________________</w:t>
        <w:br/>
      </w:r>
    </w:p>
    <w:p>
      <w:r>
        <w:br w:type="page"/>
      </w:r>
    </w:p>
    <w:p>
      <w:pPr>
        <w:pStyle w:val="Heading1"/>
      </w:pPr>
      <w:r>
        <w:t>MVG-02 — One box through each stage</w:t>
      </w:r>
    </w:p>
    <w:p>
      <w:pPr>
        <w:pStyle w:val="Heading2"/>
      </w:pPr>
      <w:r>
        <w:t>Box code and destination room; safe contents description</w:t>
      </w:r>
    </w:p>
    <w:p>
      <w:r>
        <w:t>Response: __________________________________________________</w:t>
        <w:br/>
      </w:r>
    </w:p>
    <w:p>
      <w:pPr>
        <w:pStyle w:val="Heading2"/>
      </w:pPr>
      <w:r>
        <w:t>Packed date and person responsible</w:t>
      </w:r>
    </w:p>
    <w:p>
      <w:r>
        <w:t>Response: __________________________________________________</w:t>
        <w:br/>
      </w:r>
    </w:p>
    <w:p>
      <w:pPr>
        <w:pStyle w:val="Heading2"/>
      </w:pPr>
      <w:r>
        <w:t>Collected date and collection record reference</w:t>
      </w:r>
    </w:p>
    <w:p>
      <w:r>
        <w:t>Response: __________________________________________________</w:t>
        <w:br/>
      </w:r>
    </w:p>
    <w:p>
      <w:pPr>
        <w:pStyle w:val="Heading2"/>
      </w:pPr>
      <w:r>
        <w:t>Received date and delivery record reference; leave missing unresolved</w:t>
      </w:r>
    </w:p>
    <w:p>
      <w:r>
        <w:t>Response: __________________________________________________</w:t>
        <w:br/>
      </w:r>
    </w:p>
    <w:p>
      <w:pPr>
        <w:pStyle w:val="Heading2"/>
      </w:pPr>
      <w:r>
        <w:t>Checked date, condition observed and record reference</w:t>
      </w:r>
    </w:p>
    <w:p>
      <w:r>
        <w:t>Response: __________________________________________________</w:t>
        <w:br/>
      </w:r>
    </w:p>
    <w:p>
      <w:pPr>
        <w:pStyle w:val="Heading2"/>
      </w:pPr>
      <w:r>
        <w:t>Discrepancy, provider/contact, next action and evidence</w:t>
      </w:r>
    </w:p>
    <w:p>
      <w:r>
        <w:t>Response: __________________________________________________</w:t>
        <w:br/>
      </w:r>
    </w:p>
    <w:p>
      <w:pPr>
        <w:pStyle w:val="Heading2"/>
      </w:pPr>
      <w:r>
        <w:t>Later resolution/date; preserve the initial delivery record</w:t>
      </w:r>
    </w:p>
    <w:p>
      <w:r>
        <w:t>Response: __________________________________________________</w:t>
        <w:br/>
      </w:r>
    </w:p>
    <w:p>
      <w:r>
        <w:br w:type="page"/>
      </w:r>
    </w:p>
    <w:p>
      <w:pPr>
        <w:pStyle w:val="Heading1"/>
      </w:pPr>
      <w:r>
        <w:t>MVG-03 — Costs and service confirmations</w:t>
      </w:r>
    </w:p>
    <w:p>
      <w:pPr>
        <w:pStyle w:val="Heading2"/>
      </w:pPr>
      <w:r>
        <w:t>Move alias; estimate and agreed amount with dated records</w:t>
      </w:r>
    </w:p>
    <w:p>
      <w:r>
        <w:t>Response: __________________________________________________</w:t>
        <w:br/>
      </w:r>
    </w:p>
    <w:p>
      <w:pPr>
        <w:pStyle w:val="Heading2"/>
      </w:pPr>
      <w:r>
        <w:t>Deposit paid and whether/how actual terms credit it</w:t>
      </w:r>
    </w:p>
    <w:p>
      <w:r>
        <w:t>Response: __________________________________________________</w:t>
        <w:br/>
      </w:r>
    </w:p>
    <w:p>
      <w:pPr>
        <w:pStyle w:val="Heading2"/>
      </w:pPr>
      <w:r>
        <w:t>Final total and remaining payment; reconcile rather than double count</w:t>
      </w:r>
    </w:p>
    <w:p>
      <w:r>
        <w:t>Response: __________________________________________________</w:t>
        <w:br/>
      </w:r>
    </w:p>
    <w:p>
      <w:pPr>
        <w:pStyle w:val="Heading2"/>
      </w:pPr>
      <w:r>
        <w:t>Address/service request and date submitted</w:t>
      </w:r>
    </w:p>
    <w:p>
      <w:r>
        <w:t>Response: __________________________________________________</w:t>
        <w:br/>
      </w:r>
    </w:p>
    <w:p>
      <w:pPr>
        <w:pStyle w:val="Heading2"/>
      </w:pPr>
      <w:r>
        <w:t>Provider confirmation, effective date and saved record location</w:t>
      </w:r>
    </w:p>
    <w:p>
      <w:r>
        <w:t>Response: __________________________________________________</w:t>
        <w:br/>
      </w:r>
    </w:p>
    <w:p>
      <w:pPr>
        <w:pStyle w:val="Heading2"/>
      </w:pPr>
      <w:r>
        <w:t>Later check; unresolved charge or service issue</w:t>
      </w:r>
    </w:p>
    <w:p>
      <w:r>
        <w:t>Response: __________________________________________________</w:t>
        <w:br/>
      </w:r>
    </w:p>
    <w:p>
      <w:pPr>
        <w:pStyle w:val="Heading2"/>
      </w:pPr>
      <w:r>
        <w:t>Responsible person, next contact and closing-list reference</w:t>
      </w:r>
    </w:p>
    <w:p>
      <w:r>
        <w:t>Response: __________________________________________________</w:t>
        <w:br/>
      </w:r>
    </w:p>
    <w:p>
      <w:r>
        <w:br w:type="page"/>
      </w:r>
    </w:p>
    <w:p>
      <w:pPr>
        <w:pStyle w:val="Heading1"/>
      </w:pPr>
      <w:r>
        <w:t>MVG-04 — Closing list and inventory reconciliation</w:t>
      </w:r>
    </w:p>
    <w:p>
      <w:pPr>
        <w:pStyle w:val="Heading2"/>
      </w:pPr>
      <w:r>
        <w:t>Planned box count and inventory reference</w:t>
      </w:r>
    </w:p>
    <w:p>
      <w:r>
        <w:t>Response: __________________________________________________</w:t>
        <w:br/>
      </w:r>
    </w:p>
    <w:p>
      <w:pPr>
        <w:pStyle w:val="Heading2"/>
      </w:pPr>
      <w:r>
        <w:t>Collected count/date and supporting record</w:t>
      </w:r>
    </w:p>
    <w:p>
      <w:r>
        <w:t>Response: __________________________________________________</w:t>
        <w:br/>
      </w:r>
    </w:p>
    <w:p>
      <w:pPr>
        <w:pStyle w:val="Heading2"/>
      </w:pPr>
      <w:r>
        <w:t>Initial received count/date and checked count/date</w:t>
      </w:r>
    </w:p>
    <w:p>
      <w:r>
        <w:t>Response: __________________________________________________</w:t>
        <w:br/>
      </w:r>
    </w:p>
    <w:p>
      <w:pPr>
        <w:pStyle w:val="Heading2"/>
      </w:pPr>
      <w:r>
        <w:t>Missing or unchecked codes; do not call delivery fully reconciled</w:t>
      </w:r>
    </w:p>
    <w:p>
      <w:r>
        <w:t>Response: __________________________________________________</w:t>
        <w:br/>
      </w:r>
    </w:p>
    <w:p>
      <w:pPr>
        <w:pStyle w:val="Heading2"/>
      </w:pPr>
      <w:r>
        <w:t>Later receipts: code/date; preserve initial counts</w:t>
      </w:r>
    </w:p>
    <w:p>
      <w:r>
        <w:t>Response: __________________________________________________</w:t>
        <w:br/>
      </w:r>
    </w:p>
    <w:p>
      <w:pPr>
        <w:pStyle w:val="Heading2"/>
      </w:pPr>
      <w:r>
        <w:t>Other open service, payment or address confirmations</w:t>
      </w:r>
    </w:p>
    <w:p>
      <w:r>
        <w:t>Response: __________________________________________________</w:t>
        <w:br/>
      </w:r>
    </w:p>
    <w:p>
      <w:pPr>
        <w:pStyle w:val="Heading2"/>
      </w:pPr>
      <w:r>
        <w:t>Owner, next contact and actual resolution evidence</w:t>
      </w:r>
    </w:p>
    <w:p>
      <w:r>
        <w:t>Response: __________________________________________________</w:t>
        <w:br/>
      </w:r>
    </w:p>
    <w:p>
      <w:r>
        <w:br w:type="page"/>
      </w:r>
    </w:p>
    <w:p>
      <w:pPr>
        <w:pStyle w:val="Heading1"/>
      </w:pPr>
      <w:r>
        <w:t>Sources and keeping useful records</w:t>
      </w:r>
    </w:p>
    <w:p>
      <w:r>
        <w:t>Editorial basis: the existing DTP Home and Life Transitions manuscript, expanded with original worksheets and arithmetic examples. This guide prescribes no repair interval, technical procedure, moving-contract deadline or jurisdiction-specific right.</w:t>
      </w:r>
    </w:p>
    <w:p>
      <w:r>
        <w:t>Label amounts and dates estimated, confirmed or unknown. Retain the underlying document and its date. A completed worksheet does not verify the records entered into it.</w:t>
      </w:r>
    </w:p>
    <w:p>
      <w:r>
        <w:t>Keep one current master and identify older copies. Before closing an item, record the evidence of completion; carry unresolved questions forward with an owner and next action. Download updates at davidtompublishing.com/home-life-guide-downloads/.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Tom Publishing</dc:creator>
  <cp:keywords/>
  <dc:description>generated by python-docx</dc:description>
  <cp:lastModifiedBy/>
  <cp:revision>1</cp:revision>
  <dcterms:created xsi:type="dcterms:W3CDTF">2013-12-23T23:15:00Z</dcterms:created>
  <dcterms:modified xsi:type="dcterms:W3CDTF">2013-12-23T23:15:00Z</dcterms:modified>
  <cp:category/>
</cp:coreProperties>
</file>