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Monthly Money Planner — Print &amp; Write</w:t>
      </w:r>
    </w:p>
    <w:p>
      <w:r>
        <w:t>Free working edition 0.4 | November 2, 2026 | David Tom Publishing</w:t>
      </w:r>
    </w:p>
    <w:p>
      <w:r>
        <w:t>An evergreen planning tool for any month, not a monthly publication or subscription. This paper edition works independently of DTP’s spreadsheet. It contains no automatic calculations or online data entry.</w:t>
      </w:r>
    </w:p>
    <w:p>
      <w:r>
        <w:t>Use one copy per month. Choose a manageable set of records, mark unknowns, and keep the source of each amount. This guide is educational organizing material for U.S. readers generally, not individualized financial, investment, tax or legal advice. All teaching examples are invented.</w:t>
      </w:r>
    </w:p>
    <w:p>
      <w:r>
        <w:t>Keep completed pages private. Use aliases and short references; leave full account numbers, passwords and government identification numbers out. The existing free Money Snapshot remains available separately.</w:t>
      </w:r>
    </w:p>
    <w:p>
      <w:r>
        <w:t>Reader, native Word, physical-print and assistive-technology checks remain open. PDFs are untagged; no PDF/UA compliance is claimed. An editable Word copy is supplied. Try one page at actual size before printing the whole guide.</w:t>
      </w:r>
    </w:p>
    <w:p>
      <w:pPr>
        <w:pStyle w:val="Heading1"/>
      </w:pPr>
      <w:r>
        <w:t>Start Here: give the month a boundary</w:t>
      </w:r>
    </w:p>
    <w:p>
      <w:r>
        <w:t>A monthly plan begins with a boundary, not a promise. Write the month you are planning and make a separate copy of these pages. A copy with a clear name gives the month somewhere to live. It also lets you change next month's expectations without quietly rewriting what you expected this month.</w:t>
      </w:r>
    </w:p>
    <w:p>
      <w:r>
        <w:t>Gather the records you intend to use before you start entering amounts. For this workbook, begin with take-home income, spending, and savings transfers. Keep a short list of records you do not yet have. A plan can be useful before every figure is final, but only when the unfinished parts remain visible.</w:t>
      </w:r>
    </w:p>
    <w:p>
      <w:r>
        <w:t>The five worksheet pages have different jobs: scope and records, budget, bill tracking, savings goals, and month-end snapshot. Moving between pages should help you understand the same money, not create extra copies of it.</w:t>
      </w:r>
    </w:p>
    <w:p>
      <w:pPr>
        <w:pStyle w:val="Heading1"/>
      </w:pPr>
      <w:r>
        <w:t>Choose what the record measures</w:t>
      </w:r>
    </w:p>
    <w:p>
      <w:r>
        <w:t>For a simple first pass, track take-home money received and money paid from the accounts you selected during the named month. A savings transfer out of those spending accounts appears once as an allocation; it is not household consumption or a loss of total household wealth. Write the account boundary without full account numbers.</w:t>
      </w:r>
    </w:p>
    <w:p>
      <w:r>
        <w:t>If you instead record card purchases by purchase date, do not count the later card payment as another purchase. If you use a cash-payment view, state that the payment may cover earlier purchases. Keep interest, fees, transfers and corrections identifiable. Do not mix purchase-date spending and payment-date outflows in one unexplained total.</w:t>
      </w:r>
    </w:p>
    <w:p>
      <w:r>
        <w:t>Income minus the entered outflows and savings allocations is the remaining amount within this record. It is not necessarily a bank balance, available credit, complete net worth or an amount safe to spend. Existing balances, pending transactions, omitted obligations and timing can change what is actually available.</w:t>
      </w:r>
    </w:p>
    <w:p>
      <w:r>
        <w:t>Write refunds and corrections on a separate dated note linked to the original category. State whether the note reduces this period’s recorded outflow or belongs to a different period. Retain the original amount and reason; do not quietly overwrite history. These pages organize a personal planning record, not tax or formal accounting records.</w:t>
      </w:r>
    </w:p>
    <w:p>
      <w:pPr>
        <w:pStyle w:val="Heading1"/>
      </w:pPr>
      <w:r>
        <w:t>Check dates when the monthly total looks comfortable</w:t>
      </w:r>
    </w:p>
    <w:p>
      <w:r>
        <w:t>A month can have more income than outflow and still contain a shortfall before payday. On the bill page, record due dates and expected income dates. If timing is uncertain, build a separate dated cash-flow sequence beginning with the actual amount available in the selected account.</w:t>
      </w:r>
    </w:p>
    <w:p>
      <w:r>
        <w:t>For each event, carry forward the previous balance, add the expected receipt or subtract the expected payment, and mark estimates. For example, a fictional $300 starting balance minus a $450 bill due before the next $1,000 receipt produces a temporary negative $150; the later receipt produces $850. The end amount does not erase the earlier timing problem. This is arithmetic, not a recommendation to overdraw an account.</w:t>
      </w:r>
    </w:p>
    <w:p>
      <w:r>
        <w:t>Check actual payment-processing rules and contact the relevant provider through a verified route if you need to discuss an obligation. This guide does not promise a fee waiver, extension or particular repayment arrangement. CFPB’s toolkit offers separate bill-calendar and cash-flow tools. [R01]</w:t>
      </w:r>
    </w:p>
    <w:p>
      <w:pPr>
        <w:pStyle w:val="Heading1"/>
      </w:pPr>
      <w:r>
        <w:t>Monthly Budget: write the estimate before the explanation</w:t>
      </w:r>
    </w:p>
    <w:p>
      <w:r>
        <w:t>An estimate is your best working figure for the planning period. An actual amount is what you have recorded as happening. Neither needs a flattering explanation. Put each amount in the appropriate column, then use a note to explain uncertainty, an unusual purchase, or a change in circumstances.</w:t>
      </w:r>
    </w:p>
    <w:p>
      <w:r>
        <w:t>Leave the difference visible when the month does not match the plan. For income, this workbook uses actual minus planned. For spending, it uses planned minus actual. Read the label rather than treating every negative number as the same kind of problem. A negative spending difference means more spending was recorded than planned; it does not explain the reason.</w:t>
      </w:r>
    </w:p>
    <w:p>
      <w:r>
        <w:t>Use USD amounts with no more than two decimal places. Calculations in this paper edition are manual. Enter a savings transfer once in the budget. Recording the same transfer on a goal page helps you follow the goal, but it does not create a second expense. This is a planning convention in this workbook, not a rule for every accounting system.</w:t>
      </w:r>
    </w:p>
    <w:p>
      <w:pPr>
        <w:pStyle w:val="Heading1"/>
      </w:pPr>
      <w:r>
        <w:t>Bill Planner: a second view, not a second total</w:t>
      </w:r>
    </w:p>
    <w:p>
      <w:r>
        <w:t>Imagine your housing amount includes rent and your utilities amount includes electricity and internet. Bill Planner can list those same obligations so you can follow their dates. Adding its total to the budget again would count them twice.</w:t>
      </w:r>
    </w:p>
    <w:p>
      <w:r>
        <w:t>Treat a due date, a payment instruction, and a completed payment as separate facts. Record the date you need to act, then check the available confirmation before marking the payment complete. A planned payment should not look like a verified one simply because the calendar date has passed.</w:t>
      </w:r>
    </w:p>
    <w:p>
      <w:r>
        <w:t>The monthly total also cannot tell you whether income arrives before a particular bill. Use a dated cash-flow record when timing is the question. CFPB's toolkit distinguishes bill tracking from cash-flow planning; this workbook's monthly snapshot does not replace that timing review. [R01]</w:t>
      </w:r>
    </w:p>
    <w:p>
      <w:pPr>
        <w:pStyle w:val="Heading1"/>
      </w:pPr>
      <w:r>
        <w:t>Savings Goals: describe the assumption</w:t>
      </w:r>
    </w:p>
    <w:p>
      <w:r>
        <w:t>For this no-interest illustration, the amount still needed is the target minus the amount saved, with a completed goal treated as having nothing left to add. A simple months estimate divides the remaining amount by the intended monthly addition and rounds up to a whole month. It is an estimate based on that contribution continuing, not a promised completion date.</w:t>
      </w:r>
    </w:p>
    <w:p>
      <w:r>
        <w:t>In Jordan's fictional example, the target is $2,000, the amount already saved is $600, and the intended monthly addition is $400. The remaining $1,400 represents three full $400 additions and a final $200. The illustration therefore spans four contribution months. No interest, withdrawal, price change, or missed addition is included.</w:t>
      </w:r>
    </w:p>
    <w:p>
      <w:pPr>
        <w:pStyle w:val="Heading1"/>
      </w:pPr>
      <w:r>
        <w:t>Monthly Snapshot: read the blanks first</w:t>
      </w:r>
    </w:p>
    <w:p>
      <w:r>
        <w:t>A blank input and a confirmed zero are different statements even when they contribute the same numerical amount to a total. A blank can mean not applicable, not entered, not known, or not yet checked. Before interpreting Monthly Snapshot, decide which meaning applies to every material blank.</w:t>
      </w:r>
    </w:p>
    <w:p>
      <w:r>
        <w:t>This paper edition does not display automatic input warnings. Mark entries that need attention and compare them with their sources. Check amount, date and category together. Do not fill an unknown with a guessed zero. Label totals provisional when missing records could change them.</w:t>
      </w:r>
    </w:p>
    <w:p>
      <w:r>
        <w:t>Jordan's original teaching month has $4,000 income and $2,830 recorded spending plus transfers, leaving $1,170 within that simplified record. A later-found $75 grocery receipt changes recorded spending to $2,905 and the remaining amount to $1,095. The difference is a correction to the record, not a new decision to spend money.</w:t>
      </w:r>
    </w:p>
    <w:p>
      <w:pPr>
        <w:pStyle w:val="Heading1"/>
      </w:pPr>
      <w:r>
        <w:t>The monthly handoff</w:t>
      </w:r>
    </w:p>
    <w:p>
      <w:r>
        <w:t>Save the reviewed month before starting the next one. Carry forward a decision, not an unexplained number. “Increase groceries because the complete receipts now total $555” is more useful than silently replacing $450. When the reason travels with the amount, the next review can test the decision instead of trying to reconstruct it.</w:t>
      </w:r>
    </w:p>
    <w:p>
      <w:pPr>
        <w:pStyle w:val="Heading1"/>
      </w:pPr>
      <w:r>
        <w:t>Jordan: the complete teaching record</w:t>
      </w:r>
    </w:p>
    <w:p>
      <w:r>
        <w:t>Jordan’s complete fictional illustration uses USD and one simplified planning month. The listed categories are the entire teaching record; they are not a recommended household budget. Other real-world obligations are outside this example. Income is $4,000 planned and actual. Only groceries change when a $75 receipt is found. This standalone example is distinct from the spreadsheet’s separate QA fixture.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Category</w:t>
            </w:r>
          </w:p>
        </w:tc>
        <w:tc>
          <w:tcPr>
            <w:tcW w:type="dxa" w:w="2160"/>
          </w:tcPr>
          <w:p>
            <w:r>
              <w:t>Planned</w:t>
            </w:r>
          </w:p>
        </w:tc>
        <w:tc>
          <w:tcPr>
            <w:tcW w:type="dxa" w:w="2160"/>
          </w:tcPr>
          <w:p>
            <w:r>
              <w:t>First actual</w:t>
            </w:r>
          </w:p>
        </w:tc>
        <w:tc>
          <w:tcPr>
            <w:tcW w:type="dxa" w:w="2160"/>
          </w:tcPr>
          <w:p>
            <w:r>
              <w:t>Corrected</w:t>
            </w:r>
          </w:p>
        </w:tc>
      </w:tr>
      <w:tr>
        <w:tc>
          <w:tcPr>
            <w:tcW w:type="dxa" w:w="2160"/>
          </w:tcPr>
          <w:p>
            <w:r>
              <w:t>Housing</w:t>
            </w:r>
          </w:p>
        </w:tc>
        <w:tc>
          <w:tcPr>
            <w:tcW w:type="dxa" w:w="2160"/>
          </w:tcPr>
          <w:p>
            <w:r>
              <w:t>1400</w:t>
            </w:r>
          </w:p>
        </w:tc>
        <w:tc>
          <w:tcPr>
            <w:tcW w:type="dxa" w:w="2160"/>
          </w:tcPr>
          <w:p>
            <w:r>
              <w:t>1400</w:t>
            </w:r>
          </w:p>
        </w:tc>
        <w:tc>
          <w:tcPr>
            <w:tcW w:type="dxa" w:w="2160"/>
          </w:tcPr>
          <w:p>
            <w:r>
              <w:t>1400</w:t>
            </w:r>
          </w:p>
        </w:tc>
      </w:tr>
      <w:tr>
        <w:tc>
          <w:tcPr>
            <w:tcW w:type="dxa" w:w="2160"/>
          </w:tcPr>
          <w:p>
            <w:r>
              <w:t>Utilities</w:t>
            </w:r>
          </w:p>
        </w:tc>
        <w:tc>
          <w:tcPr>
            <w:tcW w:type="dxa" w:w="2160"/>
          </w:tcPr>
          <w:p>
            <w:r>
              <w:t>200</w:t>
            </w:r>
          </w:p>
        </w:tc>
        <w:tc>
          <w:tcPr>
            <w:tcW w:type="dxa" w:w="2160"/>
          </w:tcPr>
          <w:p>
            <w:r>
              <w:t>200</w:t>
            </w:r>
          </w:p>
        </w:tc>
        <w:tc>
          <w:tcPr>
            <w:tcW w:type="dxa" w:w="2160"/>
          </w:tcPr>
          <w:p>
            <w:r>
              <w:t>200</w:t>
            </w:r>
          </w:p>
        </w:tc>
      </w:tr>
      <w:tr>
        <w:tc>
          <w:tcPr>
            <w:tcW w:type="dxa" w:w="2160"/>
          </w:tcPr>
          <w:p>
            <w:r>
              <w:t>Groceries</w:t>
            </w:r>
          </w:p>
        </w:tc>
        <w:tc>
          <w:tcPr>
            <w:tcW w:type="dxa" w:w="2160"/>
          </w:tcPr>
          <w:p>
            <w:r>
              <w:t>450</w:t>
            </w:r>
          </w:p>
        </w:tc>
        <w:tc>
          <w:tcPr>
            <w:tcW w:type="dxa" w:w="2160"/>
          </w:tcPr>
          <w:p>
            <w:r>
              <w:t>480</w:t>
            </w:r>
          </w:p>
        </w:tc>
        <w:tc>
          <w:tcPr>
            <w:tcW w:type="dxa" w:w="2160"/>
          </w:tcPr>
          <w:p>
            <w:r>
              <w:t>555</w:t>
            </w:r>
          </w:p>
        </w:tc>
      </w:tr>
      <w:tr>
        <w:tc>
          <w:tcPr>
            <w:tcW w:type="dxa" w:w="2160"/>
          </w:tcPr>
          <w:p>
            <w:r>
              <w:t>Transportation</w:t>
            </w:r>
          </w:p>
        </w:tc>
        <w:tc>
          <w:tcPr>
            <w:tcW w:type="dxa" w:w="2160"/>
          </w:tcPr>
          <w:p>
            <w:r>
              <w:t>250</w:t>
            </w:r>
          </w:p>
        </w:tc>
        <w:tc>
          <w:tcPr>
            <w:tcW w:type="dxa" w:w="2160"/>
          </w:tcPr>
          <w:p>
            <w:r>
              <w:t>210</w:t>
            </w:r>
          </w:p>
        </w:tc>
        <w:tc>
          <w:tcPr>
            <w:tcW w:type="dxa" w:w="2160"/>
          </w:tcPr>
          <w:p>
            <w:r>
              <w:t>210</w:t>
            </w:r>
          </w:p>
        </w:tc>
      </w:tr>
      <w:tr>
        <w:tc>
          <w:tcPr>
            <w:tcW w:type="dxa" w:w="2160"/>
          </w:tcPr>
          <w:p>
            <w:r>
              <w:t>Insurance</w:t>
            </w:r>
          </w:p>
        </w:tc>
        <w:tc>
          <w:tcPr>
            <w:tcW w:type="dxa" w:w="2160"/>
          </w:tcPr>
          <w:p>
            <w:r>
              <w:t>140</w:t>
            </w:r>
          </w:p>
        </w:tc>
        <w:tc>
          <w:tcPr>
            <w:tcW w:type="dxa" w:w="2160"/>
          </w:tcPr>
          <w:p>
            <w:r>
              <w:t>140</w:t>
            </w:r>
          </w:p>
        </w:tc>
        <w:tc>
          <w:tcPr>
            <w:tcW w:type="dxa" w:w="2160"/>
          </w:tcPr>
          <w:p>
            <w:r>
              <w:t>140</w:t>
            </w:r>
          </w:p>
        </w:tc>
      </w:tr>
      <w:tr>
        <w:tc>
          <w:tcPr>
            <w:tcW w:type="dxa" w:w="2160"/>
          </w:tcPr>
          <w:p>
            <w:r>
              <w:t>Savings allocation</w:t>
            </w:r>
          </w:p>
        </w:tc>
        <w:tc>
          <w:tcPr>
            <w:tcW w:type="dxa" w:w="2160"/>
          </w:tcPr>
          <w:p>
            <w:r>
              <w:t>400</w:t>
            </w:r>
          </w:p>
        </w:tc>
        <w:tc>
          <w:tcPr>
            <w:tcW w:type="dxa" w:w="2160"/>
          </w:tcPr>
          <w:p>
            <w:r>
              <w:t>400</w:t>
            </w:r>
          </w:p>
        </w:tc>
        <w:tc>
          <w:tcPr>
            <w:tcW w:type="dxa" w:w="2160"/>
          </w:tcPr>
          <w:p>
            <w:r>
              <w:t>400</w:t>
            </w:r>
          </w:p>
        </w:tc>
      </w:tr>
      <w:tr>
        <w:tc>
          <w:tcPr>
            <w:tcW w:type="dxa" w:w="2160"/>
          </w:tcPr>
          <w:p>
            <w:r>
              <w:t>TOTAL</w:t>
            </w:r>
          </w:p>
        </w:tc>
        <w:tc>
          <w:tcPr>
            <w:tcW w:type="dxa" w:w="2160"/>
          </w:tcPr>
          <w:p>
            <w:r>
              <w:t>2840</w:t>
            </w:r>
          </w:p>
        </w:tc>
        <w:tc>
          <w:tcPr>
            <w:tcW w:type="dxa" w:w="2160"/>
          </w:tcPr>
          <w:p>
            <w:r>
              <w:t>2830</w:t>
            </w:r>
          </w:p>
        </w:tc>
        <w:tc>
          <w:tcPr>
            <w:tcW w:type="dxa" w:w="2160"/>
          </w:tcPr>
          <w:p>
            <w:r>
              <w:t>2905</w:t>
            </w:r>
          </w:p>
        </w:tc>
      </w:tr>
    </w:tbl>
    <w:p>
      <w:r>
        <w:t>Remaining amount: $1,170 before correction; $1,095 after correction. Corrected outflow difference: -$65. Grocery difference: -$105; transportation difference: +$40.</w:t>
      </w:r>
    </w:p>
    <w:p>
      <w:r>
        <w:br w:type="page"/>
      </w:r>
    </w:p>
    <w:p>
      <w:pPr>
        <w:pStyle w:val="Heading1"/>
      </w:pPr>
      <w:r>
        <w:t>MP-01 — Scope and records</w:t>
      </w:r>
    </w:p>
    <w:p>
      <w:pPr>
        <w:pStyle w:val="Heading2"/>
      </w:pPr>
      <w:r>
        <w:t>Month, version and date prepared</w:t>
      </w:r>
    </w:p>
    <w:p>
      <w:r>
        <w:t>Response: __________________________________________________</w:t>
        <w:br/>
        <w:br/>
      </w:r>
    </w:p>
    <w:p>
      <w:pPr>
        <w:pStyle w:val="Heading2"/>
      </w:pPr>
      <w:r>
        <w:t>Selected account boundary and recording convention</w:t>
      </w:r>
    </w:p>
    <w:p>
      <w:r>
        <w:t>Response: __________________________________________________</w:t>
        <w:br/>
        <w:br/>
      </w:r>
    </w:p>
    <w:p>
      <w:pPr>
        <w:pStyle w:val="Heading2"/>
      </w:pPr>
      <w:r>
        <w:t>Income records reviewed; dates and source references</w:t>
      </w:r>
    </w:p>
    <w:p>
      <w:r>
        <w:t>Response: __________________________________________________</w:t>
        <w:br/>
        <w:br/>
      </w:r>
    </w:p>
    <w:p>
      <w:pPr>
        <w:pStyle w:val="Heading2"/>
      </w:pPr>
      <w:r>
        <w:t>Spending and transfer records reviewed; source references</w:t>
      </w:r>
    </w:p>
    <w:p>
      <w:r>
        <w:t>Response: __________________________________________________</w:t>
        <w:br/>
        <w:br/>
      </w:r>
    </w:p>
    <w:p>
      <w:pPr>
        <w:pStyle w:val="Heading2"/>
      </w:pPr>
      <w:r>
        <w:t>Unknown, missing or not-applicable entries and their meaning</w:t>
      </w:r>
    </w:p>
    <w:p>
      <w:r>
        <w:t>Response: __________________________________________________</w:t>
        <w:br/>
        <w:br/>
      </w:r>
    </w:p>
    <w:p>
      <w:pPr>
        <w:pStyle w:val="Heading2"/>
      </w:pPr>
      <w:r>
        <w:t>Person checking the record, next action and review date</w:t>
      </w:r>
    </w:p>
    <w:p>
      <w:r>
        <w:t>Response: __________________________________________________</w:t>
        <w:br/>
        <w:br/>
      </w:r>
    </w:p>
    <w:p>
      <w:r>
        <w:br w:type="page"/>
      </w:r>
    </w:p>
    <w:p>
      <w:pPr>
        <w:pStyle w:val="Heading1"/>
      </w:pPr>
      <w:r>
        <w:t>MP-02 — Budget entries</w:t>
      </w:r>
    </w:p>
    <w:p>
      <w:pPr>
        <w:pStyle w:val="Heading2"/>
      </w:pPr>
      <w:r>
        <w:t>Income source/category; planned; actual; source/date</w:t>
      </w:r>
    </w:p>
    <w:p>
      <w:r>
        <w:t>Response: __________________________________________________</w:t>
        <w:br/>
        <w:br/>
      </w:r>
    </w:p>
    <w:p>
      <w:pPr>
        <w:pStyle w:val="Heading2"/>
      </w:pPr>
      <w:r>
        <w:t>Income source/category; planned; actual; source/date</w:t>
      </w:r>
    </w:p>
    <w:p>
      <w:r>
        <w:t>Response: __________________________________________________</w:t>
        <w:br/>
        <w:br/>
      </w:r>
    </w:p>
    <w:p>
      <w:pPr>
        <w:pStyle w:val="Heading2"/>
      </w:pPr>
      <w:r>
        <w:t>Outflow or savings category; planned; actual; source/date</w:t>
      </w:r>
    </w:p>
    <w:p>
      <w:r>
        <w:t>Response: __________________________________________________</w:t>
        <w:br/>
        <w:br/>
      </w:r>
    </w:p>
    <w:p>
      <w:pPr>
        <w:pStyle w:val="Heading2"/>
      </w:pPr>
      <w:r>
        <w:t>Outflow or savings category; planned; actual; source/date</w:t>
      </w:r>
    </w:p>
    <w:p>
      <w:r>
        <w:t>Response: __________________________________________________</w:t>
        <w:br/>
        <w:br/>
      </w:r>
    </w:p>
    <w:p>
      <w:pPr>
        <w:pStyle w:val="Heading2"/>
      </w:pPr>
      <w:r>
        <w:t>Income totals / outflow-and-allocation totals; completeness note</w:t>
      </w:r>
    </w:p>
    <w:p>
      <w:r>
        <w:t>Response: __________________________________________________</w:t>
        <w:br/>
        <w:br/>
      </w:r>
    </w:p>
    <w:p>
      <w:pPr>
        <w:pStyle w:val="Heading2"/>
      </w:pPr>
      <w:r>
        <w:t>Remaining amount: income minus outflows and allocations; unresolved limits</w:t>
      </w:r>
    </w:p>
    <w:p>
      <w:r>
        <w:t>Response: __________________________________________________</w:t>
        <w:br/>
        <w:br/>
      </w:r>
    </w:p>
    <w:p>
      <w:r>
        <w:br w:type="page"/>
      </w:r>
    </w:p>
    <w:p>
      <w:pPr>
        <w:pStyle w:val="Heading1"/>
      </w:pPr>
      <w:r>
        <w:t>MP-03 — Bill and timing record</w:t>
      </w:r>
    </w:p>
    <w:p>
      <w:pPr>
        <w:pStyle w:val="Heading2"/>
      </w:pPr>
      <w:r>
        <w:t>Bill alias, due date, expected amount and source</w:t>
      </w:r>
    </w:p>
    <w:p>
      <w:r>
        <w:t>Response: __________________________________________________</w:t>
        <w:br/>
        <w:br/>
      </w:r>
    </w:p>
    <w:p>
      <w:pPr>
        <w:pStyle w:val="Heading2"/>
      </w:pPr>
      <w:r>
        <w:t>Budget category containing this bill; do not add it again</w:t>
      </w:r>
    </w:p>
    <w:p>
      <w:r>
        <w:t>Response: __________________________________________________</w:t>
        <w:br/>
        <w:br/>
      </w:r>
    </w:p>
    <w:p>
      <w:pPr>
        <w:pStyle w:val="Heading2"/>
      </w:pPr>
      <w:r>
        <w:t>Expected income date and amount; uncertainty</w:t>
      </w:r>
    </w:p>
    <w:p>
      <w:r>
        <w:t>Response: __________________________________________________</w:t>
        <w:br/>
        <w:br/>
      </w:r>
    </w:p>
    <w:p>
      <w:pPr>
        <w:pStyle w:val="Heading2"/>
      </w:pPr>
      <w:r>
        <w:t>Payment action date, method reference and responsible person</w:t>
      </w:r>
    </w:p>
    <w:p>
      <w:r>
        <w:t>Response: __________________________________________________</w:t>
        <w:br/>
        <w:br/>
      </w:r>
    </w:p>
    <w:p>
      <w:pPr>
        <w:pStyle w:val="Heading2"/>
      </w:pPr>
      <w:r>
        <w:t>Prepared / instructed / completed / confirmed; supporting date/reference</w:t>
      </w:r>
    </w:p>
    <w:p>
      <w:r>
        <w:t>Response: __________________________________________________</w:t>
        <w:br/>
        <w:br/>
      </w:r>
    </w:p>
    <w:p>
      <w:pPr>
        <w:pStyle w:val="Heading2"/>
      </w:pPr>
      <w:r>
        <w:t>Timing concern, provider question and follow-up date</w:t>
      </w:r>
    </w:p>
    <w:p>
      <w:r>
        <w:t>Response: __________________________________________________</w:t>
        <w:br/>
        <w:br/>
      </w:r>
    </w:p>
    <w:p>
      <w:r>
        <w:br w:type="page"/>
      </w:r>
    </w:p>
    <w:p>
      <w:pPr>
        <w:pStyle w:val="Heading1"/>
      </w:pPr>
      <w:r>
        <w:t>MP-04 — Savings goal</w:t>
      </w:r>
    </w:p>
    <w:p>
      <w:r>
        <w:t>If the target is already met, record zero additional contribution months. If money is still needed and the monthly addition is zero, there is no finite contribution-month estimate under this no-interest model. Leave an unknown addition unresolved. Divide only by a known positive monthly addition; round up.</w:t>
      </w:r>
    </w:p>
    <w:p>
      <w:pPr>
        <w:pStyle w:val="Heading2"/>
      </w:pPr>
      <w:r>
        <w:t>Goal, target amount and date/basis of target</w:t>
      </w:r>
    </w:p>
    <w:p>
      <w:r>
        <w:t>Response: __________________________________________________</w:t>
        <w:br/>
        <w:br/>
      </w:r>
    </w:p>
    <w:p>
      <w:pPr>
        <w:pStyle w:val="Heading2"/>
      </w:pPr>
      <w:r>
        <w:t>Amount already saved and source/check date</w:t>
      </w:r>
    </w:p>
    <w:p>
      <w:r>
        <w:t>Response: __________________________________________________</w:t>
        <w:br/>
        <w:br/>
      </w:r>
    </w:p>
    <w:p>
      <w:pPr>
        <w:pStyle w:val="Heading2"/>
      </w:pPr>
      <w:r>
        <w:t>Amount still needed: target minus saved, minimum zero</w:t>
      </w:r>
    </w:p>
    <w:p>
      <w:r>
        <w:t>Response: __________________________________________________</w:t>
        <w:br/>
        <w:br/>
      </w:r>
    </w:p>
    <w:p>
      <w:pPr>
        <w:pStyle w:val="Heading2"/>
      </w:pPr>
      <w:r>
        <w:t>Intended addition per month; assumptions and interruptions</w:t>
      </w:r>
    </w:p>
    <w:p>
      <w:r>
        <w:t>Response: __________________________________________________</w:t>
        <w:br/>
        <w:br/>
      </w:r>
    </w:p>
    <w:p>
      <w:pPr>
        <w:pStyle w:val="Heading2"/>
      </w:pPr>
      <w:r>
        <w:t>Contribution months, rounded up; no-interest assumption</w:t>
      </w:r>
    </w:p>
    <w:p>
      <w:r>
        <w:t>Response: __________________________________________________</w:t>
        <w:br/>
        <w:br/>
      </w:r>
    </w:p>
    <w:p>
      <w:pPr>
        <w:pStyle w:val="Heading2"/>
      </w:pPr>
      <w:r>
        <w:t>Single linked budget transfer, next review and unresolved question</w:t>
      </w:r>
    </w:p>
    <w:p>
      <w:r>
        <w:t>Response: __________________________________________________</w:t>
        <w:br/>
        <w:br/>
      </w:r>
    </w:p>
    <w:p>
      <w:r>
        <w:br w:type="page"/>
      </w:r>
    </w:p>
    <w:p>
      <w:pPr>
        <w:pStyle w:val="Heading1"/>
      </w:pPr>
      <w:r>
        <w:t>MP-05 — Snapshot and handoff</w:t>
      </w:r>
    </w:p>
    <w:p>
      <w:pPr>
        <w:pStyle w:val="Heading2"/>
      </w:pPr>
      <w:r>
        <w:t>Month/copy reference; records still missing</w:t>
      </w:r>
    </w:p>
    <w:p>
      <w:r>
        <w:t>Response: __________________________________________________</w:t>
        <w:br/>
        <w:br/>
      </w:r>
    </w:p>
    <w:p>
      <w:pPr>
        <w:pStyle w:val="Heading2"/>
      </w:pPr>
      <w:r>
        <w:t>Planned / actual income totals and actual-minus-planned difference</w:t>
      </w:r>
    </w:p>
    <w:p>
      <w:r>
        <w:t>Response: __________________________________________________</w:t>
        <w:br/>
        <w:br/>
      </w:r>
    </w:p>
    <w:p>
      <w:pPr>
        <w:pStyle w:val="Heading2"/>
      </w:pPr>
      <w:r>
        <w:t>Planned / actual outflows plus allocations and planned-minus-actual difference</w:t>
      </w:r>
    </w:p>
    <w:p>
      <w:r>
        <w:t>Response: __________________________________________________</w:t>
        <w:br/>
        <w:br/>
      </w:r>
    </w:p>
    <w:p>
      <w:pPr>
        <w:pStyle w:val="Heading2"/>
      </w:pPr>
      <w:r>
        <w:t>Remaining amount and why it is not necessarily an account balance</w:t>
      </w:r>
    </w:p>
    <w:p>
      <w:r>
        <w:t>Response: __________________________________________________</w:t>
        <w:br/>
        <w:br/>
      </w:r>
    </w:p>
    <w:p>
      <w:pPr>
        <w:pStyle w:val="Heading2"/>
      </w:pPr>
      <w:r>
        <w:t>Corrections: prior figure, new figure, reason and dated source</w:t>
      </w:r>
    </w:p>
    <w:p>
      <w:r>
        <w:t>Response: __________________________________________________</w:t>
        <w:br/>
        <w:br/>
      </w:r>
    </w:p>
    <w:p>
      <w:pPr>
        <w:pStyle w:val="Heading2"/>
      </w:pPr>
      <w:r>
        <w:t>One decision for the next plan; owner and completion check</w:t>
      </w:r>
    </w:p>
    <w:p>
      <w:r>
        <w:t>Response: __________________________________________________</w:t>
        <w:br/>
        <w:br/>
      </w:r>
    </w:p>
    <w:p>
      <w:pPr>
        <w:pStyle w:val="Heading1"/>
      </w:pPr>
      <w:r>
        <w:t>Sources and use notes</w:t>
      </w:r>
    </w:p>
    <w:p>
      <w:r>
        <w:t>R01 — Consumer Financial Protection Bureau, Your Money, Your Goals toolkit. Supports the distinction between income tracking, bill calendars and cash-flow planning. DTP’s wording, worksheets, arithmetic conventions and fictional examples are original adaptations, not CFPB forms or an endorsement.</w:t>
      </w:r>
    </w:p>
    <w:p>
      <w:r>
        <w:t>https://www.consumerfinance.gov/consumer-tools/educator-tool/your-money-your-goals/toolkit/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Tom Publishing</dc:creator>
  <cp:keywords/>
  <dc:description>generated by python-docx</dc:description>
  <cp:lastModifiedBy/>
  <cp:revision>1</cp:revision>
  <dcterms:created xsi:type="dcterms:W3CDTF">2013-12-23T23:15:00Z</dcterms:created>
  <dcterms:modified xsi:type="dcterms:W3CDTF">2013-12-23T23:15:00Z</dcterms:modified>
  <cp:category/>
</cp:coreProperties>
</file>