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You’re Engaged, Now What?</w:t>
      </w:r>
    </w:p>
    <w:p>
      <w:r>
        <w:t>Free working edition 0.1 | November 2, 2026 | David Tom Publishing</w:t>
      </w:r>
    </w:p>
    <w:p>
      <w:r>
        <w:t>A standalone educational working guide for general US readers. Examples are fictional unless explicitly described as source references. Use the guide for one manageable task and keep its supporting records with it.</w:t>
      </w:r>
    </w:p>
    <w:p>
      <w:r>
        <w:t>Print and write by hand, or use the editable Word file. The PDFs are not fillable. Use aliases and private record locations; omit passwords, access codes and full identification/account numbers. Label continuation pages with the sheet code, question and date.</w:t>
      </w:r>
    </w:p>
    <w:p>
      <w:r>
        <w:t>Reader, physical-print, native Word and assistive-technology acceptance remain open. PDFs are untagged; no PDF/UA compliance, professional signoff, or tested classroom outcome is claimed. Try a sample page before a full print run.</w:t>
      </w:r>
    </w:p>
    <w:p>
      <w:pPr>
        <w:pStyle w:val="Heading1"/>
      </w:pPr>
      <w:r>
        <w:t>Choose your route</w:t>
      </w:r>
    </w:p>
    <w:p>
      <w:r>
        <w:t>You do not have to begin this workbook on the day of an engagement. You can begin while planning a ceremony, just after marrying, or several months into building a household together. Start where a decision needs attention. Skip a module that does not apply, and record a deliberate decision to keep an existing arrangement.</w:t>
      </w:r>
    </w:p>
    <w:p>
      <w:r>
        <w:t>Choose the partner labels that suit you. The working pages use Partner A, Partner B, and Together because tasks need clear ownership without assuming a gendered role. Together means a shared decision. It does not mean that a task has no person responsible for bringing back the answer.</w:t>
      </w:r>
    </w:p>
    <w:p>
      <w:r>
        <w:t>Write one sentence about what the two of you want the next year to make possible. It might be a manageable ceremony, a less confusing household system, or room to settle into married life without changing everything at once. Keep that sentence where it can help you decide what deserves attention.</w:t>
      </w:r>
    </w:p>
    <w:p>
      <w:pPr>
        <w:pStyle w:val="Heading1"/>
      </w:pPr>
      <w:r>
        <w:t>Make decisions before commitments</w:t>
      </w:r>
    </w:p>
    <w:p>
      <w:r>
        <w:t>Before booking, buying, or submitting a change, name the decision. What are the options? What has already been agreed? Who else is affected? Which information is still missing? A shared conversation can end with “not yet decided” as long as the next step is clear.</w:t>
      </w:r>
    </w:p>
    <w:p>
      <w:r>
        <w:t>Separate preference from requirement. A family tradition may matter deeply without being an agency requirement. A provider deadline may be binding for a booking without being a deadline for the rest of married life. Record the source of each date and the consequences described by that source.</w:t>
      </w:r>
    </w:p>
    <w:p>
      <w:r>
        <w:t>For budget decisions, distinguish money available, money promised by someone else, and money not yet confirmed. Do not build a committed event around a contribution that has not been agreed. Keep deposits inside the relevant total, and retain the terms that explain cancellation or changes.</w:t>
      </w:r>
    </w:p>
    <w:p>
      <w:pPr>
        <w:pStyle w:val="Heading1"/>
      </w:pPr>
      <w:r>
        <w:t>Names are a choice, not a completion badge</w:t>
      </w:r>
    </w:p>
    <w:p>
      <w:r>
        <w:t>Record each person's current preferred name and any proposed change. A decision to keep a name is a valid outcome. So is a decision to postpone the question. Do not label the workbook incomplete because a partner does not choose the path assumed by a checklist.</w:t>
      </w:r>
    </w:p>
    <w:p>
      <w:r>
        <w:t>When a change is chosen, list the affected records and their separate requirements. The order may depend on the organization and jurisdiction. This core workbook does not supply a universal sequence or deadline. Use a source register for the actual agency, employer, financial institution, or provider involved.</w:t>
      </w:r>
    </w:p>
    <w:p>
      <w:r>
        <w:t>Avoid moving sensitive identifiers into a shared planning page. Record where the required document is kept and who will submit it through the proper channel. Keep a confirmation field so “sent” does not silently become “accepted.”</w:t>
      </w:r>
    </w:p>
    <w:p>
      <w:pPr>
        <w:pStyle w:val="Heading1"/>
      </w:pPr>
      <w:r>
        <w:t>Choose a household money arrangement you can explain</w:t>
      </w:r>
    </w:p>
    <w:p>
      <w:r>
        <w:t>The workbook does not require combined finances. Begin by describing how shared expenses will be handled, how each person can see the agreed information, and how changes will be discussed. Separate accounts, a shared account for selected bills, or another arrangement can all require thoughtful coordination.</w:t>
      </w:r>
    </w:p>
    <w:p>
      <w:r>
        <w:t>Write down the ordinary process and the exception process. Who checks that a shared bill has been paid? What happens when an unexpected cost arrives? How will either person raise a concern without needing to justify every personal purchase? The value of the page is the clarity of the agreement, not the number of accounts named on it.</w:t>
      </w:r>
    </w:p>
    <w:p>
      <w:r>
        <w:t>Keep the distinction between access and responsibility. Being the person who records a bill does not automatically create authority to change an account. Confirm the arrangement with the relevant institution rather than treating a household note as permission.</w:t>
      </w:r>
    </w:p>
    <w:p>
      <w:pPr>
        <w:pStyle w:val="Heading1"/>
      </w:pPr>
      <w:r>
        <w:t>Prepare the ceremony without letting it become the whole year</w:t>
      </w:r>
    </w:p>
    <w:p>
      <w:r>
        <w:t>Use the event sheets for guest scope, vendors, costs, and the day schedule. Keep names, benefits, records, and household arrangements in this workbook. The two parts can share a date or task reference without duplicating every field.</w:t>
      </w:r>
    </w:p>
    <w:p>
      <w:r>
        <w:t>Identify a person who can handle routine event questions while the couple is occupied. Give that person a defined role and the information needed for it. A useful handoff includes the agreed delivery window, contact, and exception route. It does not require sharing unrelated household records.</w:t>
      </w:r>
    </w:p>
    <w:p>
      <w:r>
        <w:t>Build the final-week list from unresolved decisions, not from a generic list of everything a wedding might include. Remove tasks that the couple has deliberately declined. A small ceremony should not inherit the administration of a large reception merely because the template has room for it.</w:t>
      </w:r>
    </w:p>
    <w:p>
      <w:pPr>
        <w:pStyle w:val="Heading1"/>
      </w:pPr>
      <w:r>
        <w:t>The first month: verify changes that were requested</w:t>
      </w:r>
    </w:p>
    <w:p>
      <w:r>
        <w:t>After the ceremony, review submitted requests and expected confirmations. Benefits, insurance, identification, addresses, and other records each have their own processes. Ask the relevant organization promptly about any time-sensitive change; do not wait for this workbook to supply a deadline it has not verified.</w:t>
      </w:r>
    </w:p>
    <w:p>
      <w:r>
        <w:t>Use three states: not started, submitted, and confirmed, with an additional issue field when something goes wrong. When a process is blocked, record the actual missing item or unanswered question. “Finish paperwork” is not specific enough to resolve a stalled request.</w:t>
      </w:r>
    </w:p>
    <w:p>
      <w:r>
        <w:t>Keep the first month humane. A necessary deadline and a preference to reorganize every household drawer are not equal tasks. Choose what must happen, what would help, and what can wait.</w:t>
      </w:r>
    </w:p>
    <w:p>
      <w:pPr>
        <w:pStyle w:val="Heading1"/>
      </w:pPr>
      <w:r>
        <w:t>Worked routes: two different couples, neither a default</w:t>
      </w:r>
    </w:p>
    <w:p>
      <w:r>
        <w:t>In the first fictional route, Avery and Quinn keep their names and separate personal accounts. They choose a shared method for three household bills and record who checks each confirmation. Their name-change module is marked “not applicable by choice.” Their first review concerns whether the shared-bill method is understandable to both people.</w:t>
      </w:r>
    </w:p>
    <w:p>
      <w:r>
        <w:t>In the second route, Rowan and Ellis begin the workbook after marrying. Their ceremony module is retained only for closing vendor questions and borrowed items. They create a record of pending requests, identify which organizations must confirm their own deadlines, and choose one household responsibility to hand over clearly.</w:t>
      </w:r>
    </w:p>
    <w:p>
      <w:r>
        <w:t>Neither route is more complete because it contains more changes. Completion means the couple's actual decisions and necessary follow-up are visible.</w:t>
      </w:r>
    </w:p>
    <w:p>
      <w:pPr>
        <w:pStyle w:val="Heading1"/>
      </w:pPr>
      <w:r>
        <w:t>Months two through twelve: review the arrangement</w:t>
      </w:r>
    </w:p>
    <w:p>
      <w:r>
        <w:t>Return to one agreement at a time. Ask what is working, what requires repeated reminders, and what no longer fits. A review is not a trial in which one person proves the other failed. It is a chance to compare the intended arrangement with everyday use.</w:t>
      </w:r>
    </w:p>
    <w:p>
      <w:r>
        <w:t>Keep a small change log. “Partner B now checks the utility confirmation because the reminder reaches that person” is clearer than an unexplained change in the task owner. A new responsibility should be agreed, not silently assigned by the spreadsheet.</w:t>
      </w:r>
    </w:p>
    <w:p>
      <w:pPr>
        <w:pStyle w:val="Heading1"/>
      </w:pPr>
      <w:r>
        <w:t>End the year with a usable record</w:t>
      </w:r>
    </w:p>
    <w:p>
      <w:r>
        <w:t>At the first-year review, keep the decisions that still help and retire the temporary planning material you no longer need under your chosen record policy. Write what the two of you learned about making decisions together. The most valuable result may be a simple process you trust enough to use again.</w:t>
      </w:r>
    </w:p>
    <w:p>
      <w:pPr>
        <w:pStyle w:val="Heading1"/>
      </w:pPr>
      <w:r>
        <w:t>Use the sheets for one complete cycle</w:t>
      </w:r>
    </w:p>
    <w:p>
      <w:r>
        <w:t>Begin with one bounded question or task. Read the fictional example before entering your own information. Use the first sheet to record the current situation and its evidence, then use the second to check the follow-up. If the answer is unknown, keep it unknown and name the next source or action.</w:t>
      </w:r>
    </w:p>
    <w:p>
      <w:r>
        <w:t>Give every supporting record a stable reference. Keep an earlier observation when later information changes it; add the new date and explanation. A request, a planned action and a confirmed outcome are different states. Close the cycle only as far as the evidence allows.</w:t>
      </w:r>
    </w:p>
    <w:p>
      <w:r>
        <w:t>Try the handoff with the fictional case first: another reader should be able to identify the question, the supporting record and the unfinished step. Record any instruction they cannot follow without explanation. This exercise improves the guide; it does not certify the broader product or process.</w:t>
      </w:r>
    </w:p>
    <w:p>
      <w:r>
        <w:br w:type="page"/>
      </w:r>
    </w:p>
    <w:p>
      <w:pPr>
        <w:pStyle w:val="Heading1"/>
      </w:pPr>
      <w:r>
        <w:t>ENG-01 — One shared arrangement</w:t>
      </w:r>
    </w:p>
    <w:p>
      <w:pPr>
        <w:pStyle w:val="Heading2"/>
      </w:pPr>
      <w:r>
        <w:t>Decision and each partner’s preference</w:t>
      </w:r>
    </w:p>
    <w:p>
      <w:r>
        <w:t>Response: __________________________________________________</w:t>
        <w:br/>
      </w:r>
    </w:p>
    <w:p>
      <w:pPr>
        <w:pStyle w:val="Heading2"/>
      </w:pPr>
      <w:r>
        <w:t>Shared choice or still undecided; options deliberately declined</w:t>
      </w:r>
    </w:p>
    <w:p>
      <w:r>
        <w:t>Response: __________________________________________________</w:t>
        <w:br/>
      </w:r>
    </w:p>
    <w:p>
      <w:pPr>
        <w:pStyle w:val="Heading2"/>
      </w:pPr>
      <w:r>
        <w:t>One responsible person and next action</w:t>
      </w:r>
    </w:p>
    <w:p>
      <w:r>
        <w:t>Response: __________________________________________________</w:t>
        <w:br/>
      </w:r>
    </w:p>
    <w:p>
      <w:pPr>
        <w:pStyle w:val="Heading2"/>
      </w:pPr>
      <w:r>
        <w:t>Actual deadline, organization and date checked; unknown if unconfirmed</w:t>
      </w:r>
    </w:p>
    <w:p>
      <w:r>
        <w:t>Response: __________________________________________________</w:t>
        <w:br/>
      </w:r>
    </w:p>
    <w:p>
      <w:pPr>
        <w:pStyle w:val="Heading2"/>
      </w:pPr>
      <w:r>
        <w:t>Private document location; submitted date and confirmation date</w:t>
      </w:r>
    </w:p>
    <w:p>
      <w:r>
        <w:t>Response: __________________________________________________</w:t>
        <w:br/>
      </w:r>
    </w:p>
    <w:p>
      <w:pPr>
        <w:pStyle w:val="Heading2"/>
      </w:pPr>
      <w:r>
        <w:t>What counts as finished; unresolved question</w:t>
      </w:r>
    </w:p>
    <w:p>
      <w:r>
        <w:t>Response: __________________________________________________</w:t>
        <w:br/>
      </w:r>
    </w:p>
    <w:p>
      <w:pPr>
        <w:pStyle w:val="Heading2"/>
      </w:pPr>
      <w:r>
        <w:t>Review date, agreed change and affected records</w:t>
      </w:r>
    </w:p>
    <w:p>
      <w:r>
        <w:t>Response: __________________________________________________</w:t>
        <w:br/>
      </w:r>
    </w:p>
    <w:p>
      <w:r>
        <w:br w:type="page"/>
      </w:r>
    </w:p>
    <w:p>
      <w:pPr>
        <w:pStyle w:val="Heading1"/>
      </w:pPr>
      <w:r>
        <w:t>ENG-02 — Submitted is not confirmed</w:t>
      </w:r>
    </w:p>
    <w:p>
      <w:pPr>
        <w:pStyle w:val="Heading2"/>
      </w:pPr>
      <w:r>
        <w:t>Agency/provider and intended record change or deliberate no-change choice</w:t>
      </w:r>
    </w:p>
    <w:p>
      <w:r>
        <w:t>Response: __________________________________________________</w:t>
        <w:br/>
      </w:r>
    </w:p>
    <w:p>
      <w:pPr>
        <w:pStyle w:val="Heading2"/>
      </w:pPr>
      <w:r>
        <w:t>Requirement/deadline from that organization; checked date</w:t>
      </w:r>
    </w:p>
    <w:p>
      <w:r>
        <w:t>Response: __________________________________________________</w:t>
        <w:br/>
      </w:r>
    </w:p>
    <w:p>
      <w:pPr>
        <w:pStyle w:val="Heading2"/>
      </w:pPr>
      <w:r>
        <w:t>Private document location and submission route</w:t>
      </w:r>
    </w:p>
    <w:p>
      <w:r>
        <w:t>Response: __________________________________________________</w:t>
        <w:br/>
      </w:r>
    </w:p>
    <w:p>
      <w:pPr>
        <w:pStyle w:val="Heading2"/>
      </w:pPr>
      <w:r>
        <w:t>Submitted date and reference</w:t>
      </w:r>
    </w:p>
    <w:p>
      <w:r>
        <w:t>Response: __________________________________________________</w:t>
        <w:br/>
      </w:r>
    </w:p>
    <w:p>
      <w:pPr>
        <w:pStyle w:val="Heading2"/>
      </w:pPr>
      <w:r>
        <w:t>Actual confirmation date or missing response</w:t>
      </w:r>
    </w:p>
    <w:p>
      <w:r>
        <w:t>Response: __________________________________________________</w:t>
        <w:br/>
      </w:r>
    </w:p>
    <w:p>
      <w:pPr>
        <w:pStyle w:val="Heading2"/>
      </w:pPr>
      <w:r>
        <w:t>Responsible person and next check</w:t>
      </w:r>
    </w:p>
    <w:p>
      <w:r>
        <w:t>Response: __________________________________________________</w:t>
        <w:br/>
      </w:r>
    </w:p>
    <w:p>
      <w:r>
        <w:br w:type="page"/>
      </w:r>
    </w:p>
    <w:p>
      <w:pPr>
        <w:pStyle w:val="Heading1"/>
      </w:pPr>
      <w:r>
        <w:t>Sources and keeping useful records</w:t>
      </w:r>
    </w:p>
    <w:p>
      <w:r>
        <w:t>Editorial basis: the existing DTP writing collection, expanded into standalone guide and worksheet pages. Original fictional examples remain labeled; no external source endorses them.</w:t>
      </w:r>
    </w:p>
    <w:p>
      <w:r>
        <w:t>This guide uses original organizing and teaching material. It supplies no jurisdiction-specific deadlines, legal permission, professional finding or institutional curriculum alignment.</w:t>
      </w:r>
    </w:p>
    <w:p>
      <w:r>
        <w:t>Keep one current master record. Preserve meaningful revisions and carry open questions forward. Related editions and updates: davidtompublishing.com/books-and-publications/.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