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Pets &amp; Dependents — Agreed Care Handoffs</w:t>
      </w:r>
    </w:p>
    <w:p>
      <w:r>
        <w:t>Free working edition 0.1 | November 2, 2026 | David Tom Publishing</w:t>
      </w:r>
    </w:p>
    <w:p>
      <w:r>
        <w:t>A companion to the Family Emergency &amp; Legacy Binder. Read the short guide, choose one worksheet and link it to the current master record. These are original planning prompts and fictional examples, not official forms or a preparedness certification.</w:t>
      </w:r>
    </w:p>
    <w:p>
      <w:r>
        <w:t>Print and write by hand, or use the editable Word file. No online entry, automatic reminders or fillable PDF fields are included. Keep completed records private; use aliases and omit passwords, recovery codes and full account or government identification numbers.</w:t>
      </w:r>
    </w:p>
    <w:p>
      <w:r>
        <w:t>For immediate danger or a life-threatening emergency in the United States, call 911 and follow local official instructions. Do not delay an urgent response to complete a worksheet. Individual care instructions must come from the responsible qualified source.</w:t>
      </w:r>
    </w:p>
    <w:p>
      <w:r>
        <w:t>Working edition: reader, native Word, physical-print and assistive-technology acceptance remain open. PDFs are untagged; no PDF/UA compliance or professional signoff is claimed. Print one sample page before a full run.</w:t>
      </w:r>
    </w:p>
    <w:p>
      <w:pPr>
        <w:pStyle w:val="Heading1"/>
      </w:pPr>
      <w:r>
        <w:t>Agree on the helper before writing the helper's job</w:t>
      </w:r>
    </w:p>
    <w:p>
      <w:r>
        <w:t>Start with a conversation. Ask whether the proposed helper is available, willing, and comfortable with the role. Explain the ordinary responsibilities and identify anything requiring separate authority or specialist instruction. A name written in a binder is not an agreement.</w:t>
      </w:r>
    </w:p>
    <w:p>
      <w:r>
        <w:t>For a dependent person, include their preferences and participation as appropriate. Ask how they prefer to receive information and how they can communicate a question or discomfort. The handoff should support the person, not simply make the organizer's paperwork easier.</w:t>
      </w:r>
    </w:p>
    <w:p>
      <w:r>
        <w:t>For a pet, record the familiar routine and supply locations using the existing care record. Specialized or medical instructions must come from the relevant qualified source, not from an invented example in this workbook.</w:t>
      </w:r>
    </w:p>
    <w:p>
      <w:pPr>
        <w:pStyle w:val="Heading1"/>
      </w:pPr>
      <w:r>
        <w:t>Locate the current routine</w:t>
      </w:r>
    </w:p>
    <w:p>
      <w:r>
        <w:t>The Binder uses pages 15-A and 15-B for these care records. Keep the page reference and review date visible. Use those pages as the master records; these companion sheets point to them rather than duplicating the detailed care instructions.</w:t>
      </w:r>
    </w:p>
    <w:p>
      <w:r>
        <w:t>A helper should be able to identify the current routine, find the necessary ordinary supplies, and know whom to contact with a question. Separate the full private record from any brief public reminder. The shorter reminder should point to the current record rather than creating a second inconsistent set of instructions.</w:t>
      </w:r>
    </w:p>
    <w:p>
      <w:pPr>
        <w:pStyle w:val="Heading1"/>
      </w:pPr>
      <w:r>
        <w:t>Worked case: a person's communication preference</w:t>
      </w:r>
    </w:p>
    <w:p>
      <w:r>
        <w:t>In a fictional example, Mara prefers to review the day's ordinary plans on a large-print written card and to have changes explained before an activity begins. Mara agrees that a trusted helper may use the card and knows where the fuller household routine is kept.</w:t>
      </w:r>
    </w:p>
    <w:p>
      <w:r>
        <w:t>During a practice handoff, the helper finds the card but sees two versions with different dates. Rather than choosing one, the helper asks the named responsible person. The household identifies the current version and revises the locator.</w:t>
      </w:r>
    </w:p>
    <w:p>
      <w:r>
        <w:t>No diagnosis, treatment, or capacity determination is part of the example. The lesson is that a preference should be recorded in a usable form and that version confusion should not be resolved by guessing.</w:t>
      </w:r>
    </w:p>
    <w:p>
      <w:pPr>
        <w:pStyle w:val="Heading1"/>
      </w:pPr>
      <w:r>
        <w:t>Worked case: an ordinary pet-sitting handoff</w:t>
      </w:r>
    </w:p>
    <w:p>
      <w:r>
        <w:t>A fictional pet owner prepares a short note identifying the current routine record, the supply cupboard, the carrier location, the agreed contact, and the veterinarian's contact reference. The sitter reviews it with the owner before the visit.</w:t>
      </w:r>
    </w:p>
    <w:p>
      <w:r>
        <w:t>The sitter notices that the note says “usual bowl” but two bowls are present. The owner makes the location and label specific. The written routine remains the source for actual feeding or other care instructions; this example supplies no amount or medical direction.</w:t>
      </w:r>
    </w:p>
    <w:p>
      <w:r>
        <w:t>The practice succeeds because it finds an ambiguity while the owner is available to resolve it.</w:t>
      </w:r>
    </w:p>
    <w:p>
      <w:pPr>
        <w:pStyle w:val="Heading1"/>
      </w:pPr>
      <w:r>
        <w:t>Leave room for the helper to ask</w:t>
      </w:r>
    </w:p>
    <w:p>
      <w:r>
        <w:t>A useful handoff does not demand that the helper infer what is missing. Add a clear route for questions and a boundary for actions that are outside the agreed role. The page should make it easier to pause and ask, not make uncertainty look like failure.</w:t>
      </w:r>
    </w:p>
    <w:p>
      <w:r>
        <w:t>Review the arrangement when the routine, helper, contact, or person's needs change. Keep the current record easy to identify, and retain the explanation for meaningful revisions.</w:t>
      </w:r>
    </w:p>
    <w:p>
      <w:pPr>
        <w:pStyle w:val="Heading1"/>
      </w:pPr>
      <w:r>
        <w:t>When the planned helper is unavailable</w:t>
      </w:r>
    </w:p>
    <w:p>
      <w:r>
        <w:t>Discuss a backup route while the person or pet owner and relevant contacts can participate. Record which arrangement is agreed and which is merely proposed. Do not assume that a backup helper has the same availability, authority or training as the primary helper.</w:t>
      </w:r>
    </w:p>
    <w:p>
      <w:r>
        <w:t>Keep questions about specialized care with the responsible care team or veterinarian. This companion supplies no diagnosis, capacity determination, guardianship document, treatment instruction or animal-handling technique. A helper may need to pause and ask; a filled worksheet does not resolve those questions.</w:t>
      </w:r>
    </w:p>
    <w:p>
      <w:r>
        <w:br w:type="page"/>
      </w:r>
    </w:p>
    <w:p>
      <w:pPr>
        <w:pStyle w:val="Heading1"/>
      </w:pPr>
      <w:r>
        <w:t>CH-01 — Agreed handoff</w:t>
      </w:r>
    </w:p>
    <w:p>
      <w:pPr>
        <w:pStyle w:val="Heading2"/>
      </w:pPr>
      <w:r>
        <w:t>Person or pet reference and current 15-A/15-B care-page location</w:t>
      </w:r>
    </w:p>
    <w:p>
      <w:r>
        <w:t>Response: __________________________________________________</w:t>
        <w:br/>
      </w:r>
    </w:p>
    <w:p>
      <w:pPr>
        <w:pStyle w:val="Heading2"/>
      </w:pPr>
      <w:r>
        <w:t>Helper agreement date and scope of ordinary responsibilities</w:t>
      </w:r>
    </w:p>
    <w:p>
      <w:r>
        <w:t>Response: __________________________________________________</w:t>
        <w:br/>
      </w:r>
    </w:p>
    <w:p>
      <w:pPr>
        <w:pStyle w:val="Heading2"/>
      </w:pPr>
      <w:r>
        <w:t>Communication preferences and the person’s participation</w:t>
      </w:r>
    </w:p>
    <w:p>
      <w:r>
        <w:t>Response: __________________________________________________</w:t>
        <w:br/>
      </w:r>
    </w:p>
    <w:p>
      <w:pPr>
        <w:pStyle w:val="Heading2"/>
      </w:pPr>
      <w:r>
        <w:t>Routine version date and ordinary supply locations</w:t>
      </w:r>
    </w:p>
    <w:p>
      <w:r>
        <w:t>Response: __________________________________________________</w:t>
        <w:br/>
      </w:r>
    </w:p>
    <w:p>
      <w:pPr>
        <w:pStyle w:val="Heading2"/>
      </w:pPr>
      <w:r>
        <w:t>Primary and backup contact arrangements confirmed</w:t>
      </w:r>
    </w:p>
    <w:p>
      <w:r>
        <w:t>Response: __________________________________________________</w:t>
        <w:br/>
      </w:r>
    </w:p>
    <w:p>
      <w:pPr>
        <w:pStyle w:val="Heading2"/>
      </w:pPr>
      <w:r>
        <w:t>Questions requiring the responsible person or qualified care team</w:t>
      </w:r>
    </w:p>
    <w:p>
      <w:r>
        <w:t>Response: __________________________________________________</w:t>
        <w:br/>
      </w:r>
    </w:p>
    <w:p>
      <w:pPr>
        <w:pStyle w:val="Heading2"/>
      </w:pPr>
      <w:r>
        <w:t>Practice finding, correction made and next review</w:t>
      </w:r>
    </w:p>
    <w:p>
      <w:r>
        <w:t>Response: __________________________________________________</w:t>
        <w:br/>
      </w:r>
    </w:p>
    <w:p>
      <w:r>
        <w:br w:type="page"/>
      </w:r>
    </w:p>
    <w:p>
      <w:pPr>
        <w:pStyle w:val="Heading1"/>
      </w:pPr>
      <w:r>
        <w:t>CH-02 — Routine locator and question route</w:t>
      </w:r>
    </w:p>
    <w:p>
      <w:pPr>
        <w:pStyle w:val="Heading2"/>
      </w:pPr>
      <w:r>
        <w:t>Person/pet alias; current routine record and keeper</w:t>
      </w:r>
    </w:p>
    <w:p>
      <w:r>
        <w:t>Response: __________________________________________________</w:t>
        <w:br/>
      </w:r>
    </w:p>
    <w:p>
      <w:pPr>
        <w:pStyle w:val="Heading2"/>
      </w:pPr>
      <w:r>
        <w:t>How the helper identifies the current version</w:t>
      </w:r>
    </w:p>
    <w:p>
      <w:r>
        <w:t>Response: __________________________________________________</w:t>
        <w:br/>
      </w:r>
    </w:p>
    <w:p>
      <w:pPr>
        <w:pStyle w:val="Heading2"/>
      </w:pPr>
      <w:r>
        <w:t>Ordinary supply or equipment location; do not invent operating instructions</w:t>
      </w:r>
    </w:p>
    <w:p>
      <w:r>
        <w:t>Response: __________________________________________________</w:t>
        <w:br/>
      </w:r>
    </w:p>
    <w:p>
      <w:pPr>
        <w:pStyle w:val="Heading2"/>
      </w:pPr>
      <w:r>
        <w:t>Action outside the agreed role and who can clarify it</w:t>
      </w:r>
    </w:p>
    <w:p>
      <w:r>
        <w:t>Response: __________________________________________________</w:t>
        <w:br/>
      </w:r>
    </w:p>
    <w:p>
      <w:pPr>
        <w:pStyle w:val="Heading2"/>
      </w:pPr>
      <w:r>
        <w:t>Current professional instructions to consult; provider contact reference</w:t>
      </w:r>
    </w:p>
    <w:p>
      <w:r>
        <w:t>Response: __________________________________________________</w:t>
        <w:br/>
      </w:r>
    </w:p>
    <w:p>
      <w:pPr>
        <w:pStyle w:val="Heading2"/>
      </w:pPr>
      <w:r>
        <w:t>If the usual contact is unavailable: agreed backup route to verify</w:t>
      </w:r>
    </w:p>
    <w:p>
      <w:r>
        <w:t>Response: __________________________________________________</w:t>
        <w:br/>
      </w:r>
    </w:p>
    <w:p>
      <w:r>
        <w:br w:type="page"/>
      </w:r>
    </w:p>
    <w:p>
      <w:pPr>
        <w:pStyle w:val="Heading1"/>
      </w:pPr>
      <w:r>
        <w:t>CH-03 — Handoff practice and follow-up</w:t>
      </w:r>
    </w:p>
    <w:p>
      <w:pPr>
        <w:pStyle w:val="Heading2"/>
      </w:pPr>
      <w:r>
        <w:t>Task agreed with the person/owner and helper</w:t>
      </w:r>
    </w:p>
    <w:p>
      <w:r>
        <w:t>Response: __________________________________________________</w:t>
        <w:br/>
      </w:r>
    </w:p>
    <w:p>
      <w:pPr>
        <w:pStyle w:val="Heading2"/>
      </w:pPr>
      <w:r>
        <w:t>Record or ordinary item the helper was asked to locate</w:t>
      </w:r>
    </w:p>
    <w:p>
      <w:r>
        <w:t>Response: __________________________________________________</w:t>
        <w:br/>
      </w:r>
    </w:p>
    <w:p>
      <w:pPr>
        <w:pStyle w:val="Heading2"/>
      </w:pPr>
      <w:r>
        <w:t>Observed result; ambiguity or access barrier</w:t>
      </w:r>
    </w:p>
    <w:p>
      <w:r>
        <w:t>Response: __________________________________________________</w:t>
        <w:br/>
      </w:r>
    </w:p>
    <w:p>
      <w:pPr>
        <w:pStyle w:val="Heading2"/>
      </w:pPr>
      <w:r>
        <w:t>Question asked and actual answer/source; no invented advice</w:t>
      </w:r>
    </w:p>
    <w:p>
      <w:r>
        <w:t>Response: __________________________________________________</w:t>
        <w:br/>
      </w:r>
    </w:p>
    <w:p>
      <w:pPr>
        <w:pStyle w:val="Heading2"/>
      </w:pPr>
      <w:r>
        <w:t>Correction made in the master care record; copies affected</w:t>
      </w:r>
    </w:p>
    <w:p>
      <w:r>
        <w:t>Response: __________________________________________________</w:t>
        <w:br/>
      </w:r>
    </w:p>
    <w:p>
      <w:pPr>
        <w:pStyle w:val="Heading2"/>
      </w:pPr>
      <w:r>
        <w:t>Next review trigger, responsible person and outstanding questions</w:t>
      </w:r>
    </w:p>
    <w:p>
      <w:r>
        <w:t>Response: __________________________________________________</w:t>
        <w:br/>
      </w:r>
    </w:p>
    <w:p>
      <w:r>
        <w:br w:type="page"/>
      </w:r>
    </w:p>
    <w:p>
      <w:pPr>
        <w:pStyle w:val="Heading1"/>
      </w:pPr>
      <w:r>
        <w:t>Sources and keeping one current record</w:t>
      </w:r>
    </w:p>
    <w:p>
      <w:pPr>
        <w:pStyle w:val="Heading2"/>
      </w:pPr>
      <w:r>
        <w:t>R1 — NYC Emergency Management: Be Ready New York</w:t>
      </w:r>
    </w:p>
    <w:p>
      <w:r>
        <w:t>https://www.nyc.gov/site/em/ready/be-ready-new-york.page</w:t>
      </w:r>
    </w:p>
    <w:p>
      <w:r>
        <w:t>Planning, supplies, official alerts and practice. NYC-specific recommendations must not be assumed to be universal.</w:t>
      </w:r>
    </w:p>
    <w:p>
      <w:pPr>
        <w:pStyle w:val="Heading2"/>
      </w:pPr>
      <w:r>
        <w:t>R2 — NYC Emergency Management: Disabilities, Access &amp; Functional Needs</w:t>
      </w:r>
    </w:p>
    <w:p>
      <w:r>
        <w:t>https://www.nyc.gov/site/em/ready/disabilities-access-functional-needs.page</w:t>
      </w:r>
    </w:p>
    <w:p>
      <w:r>
        <w:t>Support networks, discussing the plan and preferred communication methods.</w:t>
      </w:r>
    </w:p>
    <w:p>
      <w:pPr>
        <w:pStyle w:val="Heading2"/>
      </w:pPr>
      <w:r>
        <w:t>R3 — NYC Emergency Management: Pets &amp; Service Animals</w:t>
      </w:r>
    </w:p>
    <w:p>
      <w:r>
        <w:t>https://www.nyc.gov/site/em/ready/pets.page</w:t>
      </w:r>
    </w:p>
    <w:p>
      <w:r>
        <w:t>Plan transport/shelter, keep relevant records and practice with the animal; local rules and qualified individual advice still apply.</w:t>
      </w:r>
    </w:p>
    <w:p>
      <w:r>
        <w:t>Keep one master: Binder 21-A/21-B for reviews; 15-A/15-B for dependent/pet care; 02-A for the existing emergency reference. The companion codes identify extra sheets, not new legal roles or replacement master pages.</w:t>
      </w:r>
    </w:p>
    <w:p>
      <w:r>
        <w:t>Sources checked November 2, 2026. Official NYC material supports the narrow planning principles noted here. Ready.gov pages were inaccessible to this environment and are not described as freshly verified. No official form text, quantities or local transport/shelter rules were copied into these worksheets.</w:t>
      </w:r>
    </w:p>
    <w:p>
      <w:r>
        <w:t>For longer answers, use another sheet labeled with the companion code, parent Binder page, question and date. Leave uncertain information unresolved and identify the next check. Existing free Binder and fridge/babysitter resources remain available separately at davidtompublishing.com/family-emergency-legacy-binder/.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Tom Publishing</dc:creator>
  <cp:keywords/>
  <dc:description>generated by python-docx</dc:description>
  <cp:lastModifiedBy/>
  <cp:revision>1</cp:revision>
  <dcterms:created xsi:type="dcterms:W3CDTF">2013-12-23T23:15:00Z</dcterms:created>
  <dcterms:modified xsi:type="dcterms:W3CDTF">2013-12-23T23:15:00Z</dcterms:modified>
  <cp:category/>
</cp:coreProperties>
</file>